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https://holzundhaus.github.io/holzmeisternrw/co2-bilanz-holzbau-belegte-fakten-vs-werbeversprechen/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meisternrw/co2-bilanz-holzbau-belegte-fakten-vs-werbeversprech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